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D" w:rsidRPr="00D83A2C" w:rsidRDefault="00583D6D" w:rsidP="00583D6D">
      <w:pPr>
        <w:shd w:val="clear" w:color="auto" w:fill="FFFFFF"/>
        <w:spacing w:after="408" w:line="240" w:lineRule="auto"/>
        <w:outlineLvl w:val="3"/>
        <w:rPr>
          <w:rFonts w:asciiTheme="majorHAnsi" w:hAnsiTheme="majorHAnsi"/>
          <w:b/>
        </w:rPr>
      </w:pPr>
      <w:r w:rsidRPr="00583D6D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за 4 квартал 2017 года.</w:t>
      </w:r>
      <w:r w:rsidRPr="00D83A2C">
        <w:rPr>
          <w:rFonts w:asciiTheme="majorHAnsi" w:hAnsiTheme="majorHAnsi"/>
          <w:b/>
        </w:rPr>
        <w:t xml:space="preserve"> </w:t>
      </w:r>
    </w:p>
    <w:p w:rsidR="00D83A2C" w:rsidRPr="00D83A2C" w:rsidRDefault="00D83A2C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583D6D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D83A2C" w:rsidRPr="00D83A2C">
              <w:rPr>
                <w:rFonts w:asciiTheme="majorHAnsi" w:hAnsiTheme="majorHAnsi"/>
              </w:rPr>
              <w:t xml:space="preserve">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583D6D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8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proofErr w:type="gramStart"/>
            <w:r w:rsidR="00D83A2C" w:rsidRPr="00D83A2C">
              <w:rPr>
                <w:rFonts w:asciiTheme="majorHAnsi" w:hAnsiTheme="majorHAnsi"/>
                <w:vertAlign w:val="superscript"/>
              </w:rPr>
              <w:t xml:space="preserve">1 </w:t>
            </w:r>
            <w:r w:rsidR="00D83A2C" w:rsidRPr="00D83A2C">
              <w:rPr>
                <w:rFonts w:asciiTheme="majorHAnsi" w:hAnsiTheme="majorHAnsi"/>
              </w:rPr>
              <w:t xml:space="preserve"> ед</w:t>
            </w:r>
            <w:proofErr w:type="gramEnd"/>
            <w:r w:rsidR="00D83A2C" w:rsidRPr="00D83A2C">
              <w:rPr>
                <w:rFonts w:asciiTheme="majorHAnsi" w:hAnsiTheme="majorHAnsi"/>
              </w:rPr>
              <w:t>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-</w:t>
            </w:r>
          </w:p>
        </w:tc>
      </w:tr>
      <w:tr w:rsidR="00D83A2C" w:rsidRPr="00D83A2C" w:rsidT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583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168, 1</w:t>
            </w:r>
            <w:r>
              <w:rPr>
                <w:rFonts w:asciiTheme="majorHAnsi" w:hAnsiTheme="majorHAnsi"/>
                <w:lang w:val="en-US"/>
              </w:rPr>
              <w:t>39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r w:rsidR="00D83A2C" w:rsidRPr="00D83A2C">
              <w:rPr>
                <w:rFonts w:asciiTheme="majorHAnsi" w:hAnsiTheme="majorHAnsi"/>
                <w:vertAlign w:val="superscript"/>
              </w:rPr>
              <w:t xml:space="preserve">2 </w:t>
            </w:r>
            <w:r w:rsidR="00D83A2C" w:rsidRPr="00D83A2C">
              <w:rPr>
                <w:rFonts w:asciiTheme="majorHAnsi" w:hAnsiTheme="majorHAnsi"/>
              </w:rPr>
              <w:t xml:space="preserve"> Гкал/</w:t>
            </w:r>
            <w:proofErr w:type="gramStart"/>
            <w:r w:rsidR="00D83A2C" w:rsidRPr="00D83A2C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C4671C" w:rsidRPr="00D83A2C" w:rsidRDefault="00C4671C">
      <w:pPr>
        <w:rPr>
          <w:rFonts w:asciiTheme="majorHAnsi" w:hAnsiTheme="majorHAnsi"/>
        </w:rPr>
      </w:pPr>
    </w:p>
    <w:p w:rsidR="00D83A2C" w:rsidRPr="00D83A2C" w:rsidRDefault="00D83A2C">
      <w:pPr>
        <w:rPr>
          <w:rFonts w:asciiTheme="majorHAnsi" w:hAnsiTheme="majorHAnsi"/>
        </w:rPr>
      </w:pPr>
      <w:proofErr w:type="gramStart"/>
      <w:r w:rsidRPr="00D83A2C">
        <w:rPr>
          <w:rFonts w:asciiTheme="majorHAnsi" w:hAnsiTheme="majorHAnsi"/>
          <w:vertAlign w:val="superscript"/>
        </w:rPr>
        <w:t>1</w:t>
      </w:r>
      <w:r w:rsidRPr="00D83A2C"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горячего водоснабжения.</w:t>
      </w:r>
      <w:r w:rsidRPr="00D83A2C">
        <w:rPr>
          <w:rFonts w:asciiTheme="majorHAnsi" w:hAnsiTheme="majorHAnsi"/>
        </w:rPr>
        <w:br/>
      </w:r>
      <w:r w:rsidRPr="00D83A2C">
        <w:rPr>
          <w:rFonts w:asciiTheme="majorHAnsi" w:hAnsiTheme="majorHAnsi"/>
          <w:vertAlign w:val="superscript"/>
        </w:rPr>
        <w:t>2</w:t>
      </w:r>
      <w:r w:rsidRPr="00D83A2C">
        <w:rPr>
          <w:rFonts w:asciiTheme="majorHAnsi" w:hAnsiTheme="majorHAnsi"/>
        </w:rPr>
        <w:t xml:space="preserve"> – Величина резерва мощности приведена исходя из резерва производительности </w:t>
      </w:r>
      <w:proofErr w:type="spellStart"/>
      <w:r w:rsidRPr="00D83A2C">
        <w:rPr>
          <w:rFonts w:asciiTheme="majorHAnsi" w:hAnsiTheme="majorHAnsi"/>
        </w:rPr>
        <w:t>водоподогревательных</w:t>
      </w:r>
      <w:proofErr w:type="spellEnd"/>
      <w:r w:rsidRPr="00D83A2C">
        <w:rPr>
          <w:rFonts w:asciiTheme="majorHAnsi" w:hAnsiTheme="majorHAnsi"/>
        </w:rPr>
        <w:t xml:space="preserve"> установок ГВС на ЦТП (котельных), при этом не отражает резерва производительности циркуляционных насосов ГВС, а также пропускной способности магистральных и квартальных сетей теплоснабжения, ХВС, свободной мощности теплоисточников и источников водоснабжения. </w:t>
      </w:r>
      <w:proofErr w:type="gramEnd"/>
    </w:p>
    <w:sectPr w:rsidR="00D83A2C" w:rsidRPr="00D83A2C" w:rsidSect="009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3D6D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9E3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58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2018-04-20T05:43:00Z</dcterms:created>
  <dcterms:modified xsi:type="dcterms:W3CDTF">2018-04-20T05:43:00Z</dcterms:modified>
</cp:coreProperties>
</file>