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ДЕПАРТАМЕНТ ЖИЛИЩНО-КОММУНАЛЬНОГО КОМПЛЕКСА И ЭНЕРГЕТИКИ</w:t>
      </w:r>
    </w:p>
    <w:p>
      <w:pPr>
        <w:pStyle w:val="2"/>
        <w:jc w:val="center"/>
      </w:pPr>
      <w:r>
        <w:rPr>
          <w:sz w:val="20"/>
        </w:rPr>
        <w:t xml:space="preserve">ХАНТЫ-МАНСИЙСКОГО АВТОНОМНОГО ОКРУГА - ЮГРЫ</w:t>
      </w:r>
    </w:p>
    <w:p>
      <w:pPr>
        <w:pStyle w:val="2"/>
        <w:jc w:val="center"/>
      </w:pPr>
      <w:r>
        <w:rPr>
          <w:sz w:val="20"/>
        </w:rPr>
      </w:r>
    </w:p>
    <w:p>
      <w:pPr>
        <w:pStyle w:val="2"/>
        <w:jc w:val="center"/>
      </w:pPr>
      <w:r>
        <w:rPr>
          <w:sz w:val="20"/>
        </w:rPr>
        <w:t xml:space="preserve">ПРИКАЗ</w:t>
      </w:r>
    </w:p>
    <w:p>
      <w:pPr>
        <w:pStyle w:val="2"/>
        <w:jc w:val="center"/>
      </w:pPr>
      <w:r>
        <w:rPr>
          <w:sz w:val="20"/>
        </w:rPr>
        <w:t xml:space="preserve">от 1 марта 2021 г. N 6-нп</w:t>
      </w:r>
    </w:p>
    <w:p>
      <w:pPr>
        <w:pStyle w:val="2"/>
        <w:jc w:val="center"/>
      </w:pPr>
      <w:r>
        <w:rPr>
          <w:sz w:val="20"/>
        </w:rPr>
      </w:r>
    </w:p>
    <w:p>
      <w:pPr>
        <w:pStyle w:val="2"/>
        <w:jc w:val="center"/>
      </w:pPr>
      <w:r>
        <w:rPr>
          <w:sz w:val="20"/>
        </w:rPr>
        <w:t xml:space="preserve">О ВНЕСЕНИИ ИЗМЕНЕНИЙ В ПРИКАЗ ДЕПАРТАМЕНТА</w:t>
      </w:r>
    </w:p>
    <w:p>
      <w:pPr>
        <w:pStyle w:val="2"/>
        <w:jc w:val="center"/>
      </w:pPr>
      <w:r>
        <w:rPr>
          <w:sz w:val="20"/>
        </w:rPr>
        <w:t xml:space="preserve">ЖИЛИЩНО-КОММУНАЛЬНОГО КОМПЛЕКСА И ЭНЕРГЕТИКИ</w:t>
      </w:r>
    </w:p>
    <w:p>
      <w:pPr>
        <w:pStyle w:val="2"/>
        <w:jc w:val="center"/>
      </w:pPr>
      <w:r>
        <w:rPr>
          <w:sz w:val="20"/>
        </w:rPr>
        <w:t xml:space="preserve">ХАНТЫ-МАНСИЙСКОГО АВТОНОМНОГО ОКРУГА - ЮГРЫ ОТ 17 ИЮЛЯ 2019</w:t>
      </w:r>
    </w:p>
    <w:p>
      <w:pPr>
        <w:pStyle w:val="2"/>
        <w:jc w:val="center"/>
      </w:pPr>
      <w:r>
        <w:rPr>
          <w:sz w:val="20"/>
        </w:rPr>
        <w:t xml:space="preserve">ГОДА N 10-НП "ОБ УТВЕРЖДЕНИИ ПОНИЖАЮЩИХ КОЭФФИЦИЕНТОВ</w:t>
      </w:r>
    </w:p>
    <w:p>
      <w:pPr>
        <w:pStyle w:val="2"/>
        <w:jc w:val="center"/>
      </w:pPr>
      <w:r>
        <w:rPr>
          <w:sz w:val="20"/>
        </w:rPr>
        <w:t xml:space="preserve">К НОРМАТИВАМ ПОТРЕБЛЕНИЯ КОММУНАЛЬНЫХ УСЛУГ И НОРМАТИВАМ</w:t>
      </w:r>
    </w:p>
    <w:p>
      <w:pPr>
        <w:pStyle w:val="2"/>
        <w:jc w:val="center"/>
      </w:pPr>
      <w:r>
        <w:rPr>
          <w:sz w:val="20"/>
        </w:rPr>
        <w:t xml:space="preserve">РАСХОДА ТЕПЛОВОЙ ЭНЕРГИИ, ИСПОЛЬЗУЕМОЙ НА ПОДОГРЕВ ХОЛОДНОЙ</w:t>
      </w:r>
    </w:p>
    <w:p>
      <w:pPr>
        <w:pStyle w:val="2"/>
        <w:jc w:val="center"/>
      </w:pPr>
      <w:r>
        <w:rPr>
          <w:sz w:val="20"/>
        </w:rPr>
        <w:t xml:space="preserve">ВОДЫ, ДЛЯ ПРЕДОСТАВЛЕНИЯ КОММУНАЛЬНОЙ УСЛУГИ ПО ГОРЯЧЕМУ</w:t>
      </w:r>
    </w:p>
    <w:p>
      <w:pPr>
        <w:pStyle w:val="2"/>
        <w:jc w:val="center"/>
      </w:pPr>
      <w:r>
        <w:rPr>
          <w:sz w:val="20"/>
        </w:rPr>
        <w:t xml:space="preserve">ВОДОСНАБЖЕНИЮ И ПРИЗНАНИИ УТРАТИВШИМИ СИЛУ НЕКОТОРЫХ</w:t>
      </w:r>
    </w:p>
    <w:p>
      <w:pPr>
        <w:pStyle w:val="2"/>
        <w:jc w:val="center"/>
      </w:pPr>
      <w:r>
        <w:rPr>
          <w:sz w:val="20"/>
        </w:rPr>
        <w:t xml:space="preserve">ПРИКАЗОВ ДЕПАРТАМЕНТА ЖИЛИЩНО-КОММУНАЛЬНОГО КОМПЛЕКСА</w:t>
      </w:r>
    </w:p>
    <w:p>
      <w:pPr>
        <w:pStyle w:val="2"/>
        <w:jc w:val="center"/>
      </w:pPr>
      <w:r>
        <w:rPr>
          <w:sz w:val="20"/>
        </w:rPr>
        <w:t xml:space="preserve">И ЭНЕРГЕТИКИ ХАНТЫ-МАНСИЙСКОГО АВТОНОМНОГО ОКРУГА - ЮГРЫ"</w:t>
      </w:r>
    </w:p>
    <w:p>
      <w:pPr>
        <w:pStyle w:val="0"/>
        <w:jc w:val="both"/>
      </w:pPr>
      <w:r>
        <w:rPr>
          <w:sz w:val="20"/>
        </w:rPr>
      </w:r>
    </w:p>
    <w:p>
      <w:pPr>
        <w:pStyle w:val="0"/>
        <w:ind w:firstLine="540"/>
        <w:jc w:val="both"/>
      </w:pPr>
      <w:r>
        <w:rPr>
          <w:sz w:val="20"/>
        </w:rPr>
        <w:t xml:space="preserve">В соответствии с </w:t>
      </w:r>
      <w:hyperlink w:history="0" r:id="rId6" w:tooltip="Постановление Губернатора ХМАО - Югры от 14.12.2018 N 127 (ред. от 04.12.2020) &quot;О предельных (максимальных) индексах изменения размера вносимой гражданами платы за коммунальные услуги в муниципальных образованиях Ханты-Мансийского автономного округа - Югры на 2021 - 2023 годы&quot; ------------ Недействующая редакция {КонсультантПлюс}">
        <w:r>
          <w:rPr>
            <w:sz w:val="20"/>
            <w:color w:val="0000ff"/>
          </w:rPr>
          <w:t xml:space="preserve">постановлением</w:t>
        </w:r>
      </w:hyperlink>
      <w:r>
        <w:rPr>
          <w:sz w:val="20"/>
        </w:rPr>
        <w:t xml:space="preserve"> Губернатора Ханты-Мансийского автономного округа - Югры от 14 декабря 2018 года N 127 "О предельных (максимальных) индексах изменения размера вносимой гражданами платы за коммунальные услуги в муниципальных образованиях Ханты-Мансийского автономного округа - Югры на 2019 - 2023 годы" и на основании </w:t>
      </w:r>
      <w:hyperlink w:history="0" r:id="rId7" w:tooltip="Постановление Губернатора ХМАО - Югры от 22.12.2012 N 164 (ред. от 26.12.2020) &quot;О Департаменте жилищно-коммунального комплекса и энергетики Ханты-Мансийского автономного округа - Югры&quot; (вместе с &quot;Положением о Департаменте жилищно-коммунального комплекса и энергетики Ханты-Мансийского автономного округа - Югры&quot;) ------------ Утратил силу или отменен {КонсультантПлюс}">
        <w:r>
          <w:rPr>
            <w:sz w:val="20"/>
            <w:color w:val="0000ff"/>
          </w:rPr>
          <w:t xml:space="preserve">подпункта 6.2.2 пункта 6</w:t>
        </w:r>
      </w:hyperlink>
      <w:r>
        <w:rPr>
          <w:sz w:val="20"/>
        </w:rPr>
        <w:t xml:space="preserve"> Положения о Департаменте жилищно-коммунального комплекса и энергетики Ханты-Мансийского автономного округа - Югры, утвержденного постановлением Губернатора Ханты-Мансийского автономного округа - Югры от 22 декабря 2012 года N 164 "О Департаменте жилищно-коммунального комплекса и энергетики Ханты-Мансийского автономного округа - Югры", приказываю:</w:t>
      </w:r>
    </w:p>
    <w:p>
      <w:pPr>
        <w:pStyle w:val="0"/>
        <w:spacing w:before="200" w:line-rule="auto"/>
        <w:ind w:firstLine="540"/>
        <w:jc w:val="both"/>
      </w:pPr>
      <w:r>
        <w:rPr>
          <w:sz w:val="20"/>
        </w:rPr>
        <w:t xml:space="preserve">1. Внести в </w:t>
      </w:r>
      <w:hyperlink w:history="0" r:id="rId8" w:tooltip="Приказ Департамента жилищно-коммунального комплекса и энергетики ХМАО - Югры от 17.07.2019 N 10-нп (ред. от 29.10.2020) &quot;Об утверждении понижающих коэффициентов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и признании утратившими силу некоторых приказов Департамента жилищно-коммунального комплекса и энергетики Ханты-Мансийского автономного округа - Югры&quot; ------------ Недействующая редакция {КонсультантПлюс}">
        <w:r>
          <w:rPr>
            <w:sz w:val="20"/>
            <w:color w:val="0000ff"/>
          </w:rPr>
          <w:t xml:space="preserve">приказ</w:t>
        </w:r>
      </w:hyperlink>
      <w:r>
        <w:rPr>
          <w:sz w:val="20"/>
        </w:rPr>
        <w:t xml:space="preserve"> Департамента жилищно-коммунального комплекса и энергетики Ханты-Мансийского автономного округа - Югры от 17 июля 2019 года N 10-нп "Об утверждении понижающих коэффициентов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и признании утратившими силу некоторых приказов Департамента жилищно-коммунального комплекса и энергетики Ханты-Мансийского автономного округа - Югры" следующие изменения:</w:t>
      </w:r>
    </w:p>
    <w:p>
      <w:pPr>
        <w:pStyle w:val="0"/>
        <w:spacing w:before="200" w:line-rule="auto"/>
        <w:ind w:firstLine="540"/>
        <w:jc w:val="both"/>
      </w:pPr>
      <w:r>
        <w:rPr>
          <w:sz w:val="20"/>
        </w:rPr>
        <w:t xml:space="preserve">1.1. </w:t>
      </w:r>
      <w:hyperlink w:history="0" r:id="rId9" w:tooltip="Приказ Департамента жилищно-коммунального комплекса и энергетики ХМАО - Югры от 17.07.2019 N 10-нп (ред. от 29.10.2020) &quot;Об утверждении понижающих коэффициентов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и признании утратившими силу некоторых приказов Департамента жилищно-коммунального комплекса и энергетики Ханты-Мансийского автономного округа - Югры&quot; ------------ Недействующая редакция {КонсультантПлюс}">
        <w:r>
          <w:rPr>
            <w:sz w:val="20"/>
            <w:color w:val="0000ff"/>
          </w:rPr>
          <w:t xml:space="preserve">Строку 2.1</w:t>
        </w:r>
      </w:hyperlink>
      <w:r>
        <w:rPr>
          <w:sz w:val="20"/>
        </w:rPr>
        <w:t xml:space="preserve"> таблицы приложения 10 изложить в следующей редакции:</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407"/>
        <w:gridCol w:w="1373"/>
        <w:gridCol w:w="1077"/>
        <w:gridCol w:w="1077"/>
        <w:gridCol w:w="2494"/>
      </w:tblGrid>
      <w:tr>
        <w:tc>
          <w:tcPr>
            <w:tcW w:w="624" w:type="dxa"/>
            <w:vMerge w:val="restart"/>
          </w:tcPr>
          <w:p>
            <w:pPr>
              <w:pStyle w:val="0"/>
            </w:pPr>
            <w:r>
              <w:rPr>
                <w:sz w:val="20"/>
              </w:rPr>
              <w:t xml:space="preserve">2.1</w:t>
            </w:r>
          </w:p>
        </w:tc>
        <w:tc>
          <w:tcPr>
            <w:tcW w:w="2407" w:type="dxa"/>
            <w:vMerge w:val="restart"/>
          </w:tcPr>
          <w:p>
            <w:pPr>
              <w:pStyle w:val="0"/>
            </w:pPr>
            <w:r>
              <w:rPr>
                <w:sz w:val="20"/>
              </w:rPr>
              <w:t xml:space="preserve">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373" w:type="dxa"/>
            <w:vMerge w:val="restart"/>
          </w:tcPr>
          <w:p>
            <w:pPr>
              <w:pStyle w:val="0"/>
            </w:pPr>
            <w:r>
              <w:rPr>
                <w:sz w:val="20"/>
              </w:rPr>
              <w:t xml:space="preserve">0,0708 &lt;*&gt;</w:t>
            </w:r>
          </w:p>
        </w:tc>
        <w:tc>
          <w:tcPr>
            <w:tcW w:w="1077" w:type="dxa"/>
            <w:vMerge w:val="restart"/>
          </w:tcPr>
          <w:p>
            <w:pPr>
              <w:pStyle w:val="0"/>
            </w:pPr>
            <w:r>
              <w:rPr>
                <w:sz w:val="20"/>
              </w:rPr>
              <w:t xml:space="preserve">0,1002</w:t>
            </w:r>
          </w:p>
        </w:tc>
        <w:tc>
          <w:tcPr>
            <w:tcW w:w="1077" w:type="dxa"/>
          </w:tcPr>
          <w:p>
            <w:pPr>
              <w:pStyle w:val="0"/>
            </w:pPr>
            <w:r>
              <w:rPr>
                <w:sz w:val="20"/>
              </w:rPr>
              <w:t xml:space="preserve">0,7066</w:t>
            </w:r>
          </w:p>
        </w:tc>
        <w:tc>
          <w:tcPr>
            <w:tcW w:w="2494" w:type="dxa"/>
          </w:tcPr>
          <w:p>
            <w:pPr>
              <w:pStyle w:val="0"/>
            </w:pPr>
            <w:r>
              <w:rPr>
                <w:sz w:val="20"/>
              </w:rPr>
              <w:t xml:space="preserve">к нормативу расхода тепловой энергии, используемой на подогрев холодной воды, для предоставления коммунальной услуги по горячему водоснабжению (применяется для потребителей, которым услуга горячего водоснабжения предоставляется</w:t>
            </w:r>
          </w:p>
          <w:p>
            <w:pPr>
              <w:pStyle w:val="0"/>
            </w:pPr>
            <w:r>
              <w:rPr>
                <w:sz w:val="20"/>
              </w:rPr>
              <w:t xml:space="preserve">от котельных, расположенных</w:t>
            </w:r>
          </w:p>
          <w:p>
            <w:pPr>
              <w:pStyle w:val="0"/>
            </w:pPr>
            <w:r>
              <w:rPr>
                <w:sz w:val="20"/>
              </w:rPr>
              <w:t xml:space="preserve">на проспекте Набережный, д. 17, д. 17/1, д. 17/2)</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0,9780</w:t>
            </w:r>
          </w:p>
        </w:tc>
        <w:tc>
          <w:tcPr>
            <w:tcW w:w="2494" w:type="dxa"/>
          </w:tcPr>
          <w:p>
            <w:pPr>
              <w:pStyle w:val="0"/>
            </w:pPr>
            <w:r>
              <w:rPr>
                <w:sz w:val="20"/>
              </w:rPr>
              <w:t xml:space="preserve">к нормативу расхода тепловой энергии, используемой на подогрев холодной воды, для предоставления коммунальной услуги по горячему водоснабжению (применяется для потребителей, проживающим в поселке Кедровый-2 города Сургута)</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0,7156</w:t>
            </w:r>
          </w:p>
        </w:tc>
        <w:tc>
          <w:tcPr>
            <w:tcW w:w="2494" w:type="dxa"/>
          </w:tcPr>
          <w:p>
            <w:pPr>
              <w:pStyle w:val="0"/>
            </w:pPr>
            <w:r>
              <w:rPr>
                <w:sz w:val="20"/>
              </w:rPr>
              <w:t xml:space="preserve">к нормативу расхода тепловой энергии, используемой на подогрев холодной воды, для предоставления коммунальной услуги по горячему водоснабжению</w:t>
            </w:r>
          </w:p>
          <w:p>
            <w:pPr>
              <w:pStyle w:val="0"/>
            </w:pPr>
            <w:r>
              <w:rPr>
                <w:sz w:val="20"/>
              </w:rPr>
              <w:t xml:space="preserve">(за исключением потребителей, которым услуга горячего водоснабжения предоставляется от котельных, расположенных на проспекте Набережный, д. 17, д. 17/1, д. 17/2, а также потребителей, проживающих в поселке Юность, поселке Лунный, поселке Кедровый-2 и поселке Финский города Сургута)</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0,7854</w:t>
            </w:r>
          </w:p>
        </w:tc>
        <w:tc>
          <w:tcPr>
            <w:tcW w:w="2494" w:type="dxa"/>
          </w:tcPr>
          <w:p>
            <w:pPr>
              <w:pStyle w:val="0"/>
            </w:pPr>
            <w:r>
              <w:rPr>
                <w:sz w:val="20"/>
              </w:rPr>
              <w:t xml:space="preserve">к нормативу расхода тепловой энергии, используемой на подогрев холодной воды, для предоставления коммунальной услуги по горячему водоснабжению (применяется для потребителей, проживающих в поселке Финский города Сургута)</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1.2. </w:t>
      </w:r>
      <w:hyperlink w:history="0" r:id="rId10" w:tooltip="Приказ Департамента жилищно-коммунального комплекса и энергетики ХМАО - Югры от 17.07.2019 N 10-нп (ред. от 29.10.2020) &quot;Об утверждении понижающих коэффициентов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и признании утратившими силу некоторых приказов Департамента жилищно-коммунального комплекса и энергетики Ханты-Мансийского автономного округа - Югры&quot; ------------ Недействующая редакция {КонсультантПлюс}">
        <w:r>
          <w:rPr>
            <w:sz w:val="20"/>
            <w:color w:val="0000ff"/>
          </w:rPr>
          <w:t xml:space="preserve">Строку 2.2</w:t>
        </w:r>
      </w:hyperlink>
      <w:r>
        <w:rPr>
          <w:sz w:val="20"/>
        </w:rPr>
        <w:t xml:space="preserve"> таблицы приложения 10 изложить в следующей редакции:</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407"/>
        <w:gridCol w:w="1373"/>
        <w:gridCol w:w="1077"/>
        <w:gridCol w:w="1077"/>
        <w:gridCol w:w="2494"/>
      </w:tblGrid>
      <w:tr>
        <w:tc>
          <w:tcPr>
            <w:tcW w:w="624" w:type="dxa"/>
            <w:vMerge w:val="restart"/>
          </w:tcPr>
          <w:p>
            <w:pPr>
              <w:pStyle w:val="0"/>
            </w:pPr>
            <w:r>
              <w:rPr>
                <w:sz w:val="20"/>
              </w:rPr>
              <w:t xml:space="preserve">2.2</w:t>
            </w:r>
          </w:p>
        </w:tc>
        <w:tc>
          <w:tcPr>
            <w:tcW w:w="2407" w:type="dxa"/>
            <w:vMerge w:val="restart"/>
          </w:tcPr>
          <w:p>
            <w:pPr>
              <w:pStyle w:val="0"/>
            </w:pPr>
            <w:r>
              <w:rPr>
                <w:sz w:val="20"/>
              </w:rPr>
              <w:t xml:space="preserve">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373" w:type="dxa"/>
            <w:vMerge w:val="restart"/>
          </w:tcPr>
          <w:p>
            <w:pPr>
              <w:pStyle w:val="0"/>
            </w:pPr>
            <w:r>
              <w:rPr>
                <w:sz w:val="20"/>
              </w:rPr>
              <w:t xml:space="preserve">0,0708 &lt;*&gt;</w:t>
            </w:r>
          </w:p>
        </w:tc>
        <w:tc>
          <w:tcPr>
            <w:tcW w:w="1077" w:type="dxa"/>
            <w:vMerge w:val="restart"/>
          </w:tcPr>
          <w:p>
            <w:pPr>
              <w:pStyle w:val="0"/>
            </w:pPr>
            <w:r>
              <w:rPr>
                <w:sz w:val="20"/>
              </w:rPr>
              <w:t xml:space="preserve">0,0741</w:t>
            </w:r>
          </w:p>
        </w:tc>
        <w:tc>
          <w:tcPr>
            <w:tcW w:w="1077" w:type="dxa"/>
          </w:tcPr>
          <w:p>
            <w:pPr>
              <w:pStyle w:val="0"/>
            </w:pPr>
            <w:r>
              <w:rPr>
                <w:sz w:val="20"/>
              </w:rPr>
              <w:t xml:space="preserve">0,9554</w:t>
            </w:r>
          </w:p>
        </w:tc>
        <w:tc>
          <w:tcPr>
            <w:tcW w:w="2494" w:type="dxa"/>
          </w:tcPr>
          <w:p>
            <w:pPr>
              <w:pStyle w:val="0"/>
            </w:pPr>
            <w:r>
              <w:rPr>
                <w:sz w:val="20"/>
              </w:rPr>
              <w:t xml:space="preserve">к нормативу расхода тепловой энергии, используемой на подогрев холодной воды, для предоставления коммунальной услуги по горячему водоснабжению (применяется для потребителей, которым услуга горячего водоснабжения предоставляется от котельных, расположенных на проспекте Набережный, д. 17, д. 17/1, д. 17/2)</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0,9676</w:t>
            </w:r>
          </w:p>
        </w:tc>
        <w:tc>
          <w:tcPr>
            <w:tcW w:w="2494" w:type="dxa"/>
          </w:tcPr>
          <w:p>
            <w:pPr>
              <w:pStyle w:val="0"/>
            </w:pPr>
            <w:r>
              <w:rPr>
                <w:sz w:val="20"/>
              </w:rPr>
              <w:t xml:space="preserve">к нормативу расхода тепловой энергии, используемой на подогрев холодной воды, для предоставления коммунальной услуги по горячему водоснабжению (применяется для потребителей коммунальной услуги по горячему водоснабжению, за исключением потребителей, которым услуга горячего водоснабжения предоставляется от котельных, расположенных на проспекте Набережный, д. 17, д. 17/1, д. 17/2, проживающих в поселке Юность, поселке Лунный, поселке Кедровый-2, поселке Финский города Сургута)</w:t>
            </w:r>
          </w:p>
        </w:tc>
      </w:tr>
    </w:tbl>
    <w:p>
      <w:pPr>
        <w:pStyle w:val="0"/>
        <w:spacing w:before="200" w:line-rule="auto"/>
        <w:jc w:val="right"/>
      </w:pPr>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1.3 п. 1 </w:t>
            </w:r>
            <w:hyperlink w:history="0" w:anchor="P77" w:tooltip="3. Подпункт 1.3 пункта 1 настоящего приказа распространяет свое действие на правоотношения, возникшие с 1 июля 2019 года.">
              <w:r>
                <w:rPr>
                  <w:sz w:val="20"/>
                  <w:color w:val="0000ff"/>
                </w:rPr>
                <w:t xml:space="preserve">распространяется</w:t>
              </w:r>
            </w:hyperlink>
            <w:r>
              <w:rPr>
                <w:sz w:val="20"/>
                <w:color w:val="392c69"/>
              </w:rPr>
              <w:t xml:space="preserve"> на правоотношения, возникшие с 01.07.2019.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 w:name="P54"/>
    <w:bookmarkEnd w:id="54"/>
    <w:p>
      <w:pPr>
        <w:pStyle w:val="0"/>
        <w:spacing w:before="260" w:line-rule="auto"/>
        <w:ind w:firstLine="540"/>
        <w:jc w:val="both"/>
      </w:pPr>
      <w:r>
        <w:rPr>
          <w:sz w:val="20"/>
        </w:rPr>
        <w:t xml:space="preserve">1.3. </w:t>
      </w:r>
      <w:hyperlink w:history="0" r:id="rId11" w:tooltip="Приказ Департамента жилищно-коммунального комплекса и энергетики ХМАО - Югры от 17.07.2019 N 10-нп (ред. от 29.10.2020) &quot;Об утверждении понижающих коэффициентов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и признании утратившими силу некоторых приказов Департамента жилищно-коммунального комплекса и энергетики Ханты-Мансийского автономного округа - Югры&quot; ------------ Недействующая редакция {КонсультантПлюс}">
        <w:r>
          <w:rPr>
            <w:sz w:val="20"/>
            <w:color w:val="0000ff"/>
          </w:rPr>
          <w:t xml:space="preserve">Таблицу 3</w:t>
        </w:r>
      </w:hyperlink>
      <w:r>
        <w:rPr>
          <w:sz w:val="20"/>
        </w:rPr>
        <w:t xml:space="preserve"> приложения 14 дополнить строкой 1.6 следующего содержания:</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24"/>
        <w:gridCol w:w="2407"/>
        <w:gridCol w:w="1373"/>
        <w:gridCol w:w="1077"/>
        <w:gridCol w:w="1077"/>
        <w:gridCol w:w="2494"/>
      </w:tblGrid>
      <w:tr>
        <w:tc>
          <w:tcPr>
            <w:tcW w:w="624" w:type="dxa"/>
            <w:tcBorders>
              <w:top w:val="single" w:sz="4"/>
              <w:bottom w:val="single" w:sz="4"/>
            </w:tcBorders>
          </w:tcPr>
          <w:p>
            <w:pPr>
              <w:pStyle w:val="0"/>
            </w:pPr>
            <w:r>
              <w:rPr>
                <w:sz w:val="20"/>
              </w:rPr>
              <w:t xml:space="preserve">1.6</w:t>
            </w:r>
          </w:p>
        </w:tc>
        <w:tc>
          <w:tcPr>
            <w:tcW w:w="2407" w:type="dxa"/>
            <w:tcBorders>
              <w:top w:val="single" w:sz="4"/>
              <w:bottom w:val="single" w:sz="4"/>
            </w:tcBorders>
          </w:tcPr>
          <w:p>
            <w:pPr>
              <w:pStyle w:val="0"/>
            </w:pPr>
            <w:r>
              <w:rPr>
                <w:sz w:val="20"/>
              </w:rPr>
              <w:t xml:space="preserve">1-этажные многоквартирные и жилые дома со стенами из панелей и блоков, постройки до 1999 года включительно</w:t>
            </w:r>
          </w:p>
        </w:tc>
        <w:tc>
          <w:tcPr>
            <w:tcW w:w="1373" w:type="dxa"/>
            <w:tcBorders>
              <w:top w:val="single" w:sz="4"/>
              <w:bottom w:val="single" w:sz="4"/>
            </w:tcBorders>
          </w:tcPr>
          <w:p>
            <w:pPr>
              <w:pStyle w:val="0"/>
            </w:pPr>
            <w:r>
              <w:rPr>
                <w:sz w:val="20"/>
              </w:rPr>
              <w:t xml:space="preserve">0,0420</w:t>
            </w:r>
          </w:p>
        </w:tc>
        <w:tc>
          <w:tcPr>
            <w:tcW w:w="1077" w:type="dxa"/>
            <w:tcBorders>
              <w:top w:val="single" w:sz="4"/>
              <w:bottom w:val="single" w:sz="4"/>
            </w:tcBorders>
          </w:tcPr>
          <w:p>
            <w:pPr>
              <w:pStyle w:val="0"/>
            </w:pPr>
            <w:r>
              <w:rPr>
                <w:sz w:val="20"/>
              </w:rPr>
              <w:t xml:space="preserve">0,0546</w:t>
            </w:r>
          </w:p>
        </w:tc>
        <w:tc>
          <w:tcPr>
            <w:tcW w:w="1077" w:type="dxa"/>
            <w:tcBorders>
              <w:top w:val="single" w:sz="4"/>
              <w:bottom w:val="single" w:sz="4"/>
            </w:tcBorders>
          </w:tcPr>
          <w:p>
            <w:pPr>
              <w:pStyle w:val="0"/>
            </w:pPr>
            <w:r>
              <w:rPr>
                <w:sz w:val="20"/>
              </w:rPr>
              <w:t xml:space="preserve">0,7692</w:t>
            </w:r>
          </w:p>
        </w:tc>
        <w:tc>
          <w:tcPr>
            <w:tcW w:w="2494" w:type="dxa"/>
            <w:tcBorders>
              <w:top w:val="single" w:sz="4"/>
              <w:bottom w:val="single" w:sz="4"/>
            </w:tcBorders>
          </w:tcPr>
          <w:p>
            <w:pPr>
              <w:pStyle w:val="0"/>
            </w:pPr>
            <w:r>
              <w:rPr>
                <w:sz w:val="20"/>
              </w:rPr>
              <w:t xml:space="preserve">к нормативу по отоплению</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1.4. </w:t>
      </w:r>
      <w:hyperlink w:history="0" r:id="rId12" w:tooltip="Приказ Департамента жилищно-коммунального комплекса и энергетики ХМАО - Югры от 17.07.2019 N 10-нп (ред. от 29.10.2020) &quot;Об утверждении понижающих коэффициентов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и признании утратившими силу некоторых приказов Департамента жилищно-коммунального комплекса и энергетики Ханты-Мансийского автономного округа - Югры&quot; ------------ Недействующая редакция {КонсультантПлюс}">
        <w:r>
          <w:rPr>
            <w:sz w:val="20"/>
            <w:color w:val="0000ff"/>
          </w:rPr>
          <w:t xml:space="preserve">Строку 1.7</w:t>
        </w:r>
      </w:hyperlink>
      <w:r>
        <w:rPr>
          <w:sz w:val="20"/>
        </w:rPr>
        <w:t xml:space="preserve"> таблицы 7 приложения 14 изложить в следующей редакции:</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24"/>
        <w:gridCol w:w="2407"/>
        <w:gridCol w:w="1373"/>
        <w:gridCol w:w="1077"/>
        <w:gridCol w:w="1077"/>
        <w:gridCol w:w="2494"/>
      </w:tblGrid>
      <w:tr>
        <w:tc>
          <w:tcPr>
            <w:tcW w:w="624" w:type="dxa"/>
            <w:tcBorders>
              <w:top w:val="single" w:sz="4"/>
              <w:bottom w:val="single" w:sz="4"/>
            </w:tcBorders>
          </w:tcPr>
          <w:p>
            <w:pPr>
              <w:pStyle w:val="0"/>
            </w:pPr>
            <w:r>
              <w:rPr>
                <w:sz w:val="20"/>
              </w:rPr>
              <w:t xml:space="preserve">1.7</w:t>
            </w:r>
          </w:p>
        </w:tc>
        <w:tc>
          <w:tcPr>
            <w:tcW w:w="2407" w:type="dxa"/>
            <w:tcBorders>
              <w:top w:val="single" w:sz="4"/>
              <w:bottom w:val="single" w:sz="4"/>
            </w:tcBorders>
          </w:tcPr>
          <w:p>
            <w:pPr>
              <w:pStyle w:val="0"/>
            </w:pPr>
            <w:r>
              <w:rPr>
                <w:sz w:val="20"/>
              </w:rPr>
              <w:t xml:space="preserve">4-этажные многоквартирные и жилые дома со стенами из панелей и блоков, постройки после 1999 года</w:t>
            </w:r>
          </w:p>
        </w:tc>
        <w:tc>
          <w:tcPr>
            <w:tcW w:w="1373" w:type="dxa"/>
            <w:tcBorders>
              <w:top w:val="single" w:sz="4"/>
              <w:bottom w:val="single" w:sz="4"/>
            </w:tcBorders>
          </w:tcPr>
          <w:p>
            <w:pPr>
              <w:pStyle w:val="0"/>
            </w:pPr>
            <w:r>
              <w:rPr>
                <w:sz w:val="20"/>
              </w:rPr>
              <w:t xml:space="preserve">0,0181</w:t>
            </w:r>
          </w:p>
        </w:tc>
        <w:tc>
          <w:tcPr>
            <w:tcW w:w="1077" w:type="dxa"/>
            <w:tcBorders>
              <w:top w:val="single" w:sz="4"/>
              <w:bottom w:val="single" w:sz="4"/>
            </w:tcBorders>
          </w:tcPr>
          <w:p>
            <w:pPr>
              <w:pStyle w:val="0"/>
            </w:pPr>
            <w:r>
              <w:rPr>
                <w:sz w:val="20"/>
              </w:rPr>
              <w:t xml:space="preserve">0,0229</w:t>
            </w:r>
          </w:p>
        </w:tc>
        <w:tc>
          <w:tcPr>
            <w:tcW w:w="1077" w:type="dxa"/>
            <w:tcBorders>
              <w:top w:val="single" w:sz="4"/>
              <w:bottom w:val="single" w:sz="4"/>
            </w:tcBorders>
          </w:tcPr>
          <w:p>
            <w:pPr>
              <w:pStyle w:val="0"/>
            </w:pPr>
            <w:r>
              <w:rPr>
                <w:sz w:val="20"/>
              </w:rPr>
              <w:t xml:space="preserve">0,7904</w:t>
            </w:r>
          </w:p>
        </w:tc>
        <w:tc>
          <w:tcPr>
            <w:tcW w:w="2494" w:type="dxa"/>
            <w:tcBorders>
              <w:top w:val="single" w:sz="4"/>
              <w:bottom w:val="single" w:sz="4"/>
            </w:tcBorders>
          </w:tcPr>
          <w:p>
            <w:pPr>
              <w:pStyle w:val="0"/>
            </w:pPr>
            <w:r>
              <w:rPr>
                <w:sz w:val="20"/>
              </w:rPr>
              <w:t xml:space="preserve">к нормативу по отоплению</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2. Настоящий приказ вступает в силу с 1 апреля 2021 года.</w:t>
      </w:r>
    </w:p>
    <w:bookmarkStart w:id="77" w:name="P77"/>
    <w:bookmarkEnd w:id="77"/>
    <w:p>
      <w:pPr>
        <w:pStyle w:val="0"/>
        <w:spacing w:before="200" w:line-rule="auto"/>
        <w:ind w:firstLine="540"/>
        <w:jc w:val="both"/>
      </w:pPr>
      <w:r>
        <w:rPr>
          <w:sz w:val="20"/>
        </w:rPr>
        <w:t xml:space="preserve">3. </w:t>
      </w:r>
      <w:hyperlink w:history="0" w:anchor="P54" w:tooltip="1.3. Таблицу 3 приложения 14 дополнить строкой 1.6 следующего содержания:">
        <w:r>
          <w:rPr>
            <w:sz w:val="20"/>
            <w:color w:val="0000ff"/>
          </w:rPr>
          <w:t xml:space="preserve">Подпункт 1.3 пункта 1</w:t>
        </w:r>
      </w:hyperlink>
      <w:r>
        <w:rPr>
          <w:sz w:val="20"/>
        </w:rPr>
        <w:t xml:space="preserve"> настоящего приказа распространяет свое действие на правоотношения, возникшие с 1 июля 2019 года.</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жилищно-коммунального комплекса</w:t>
      </w:r>
    </w:p>
    <w:p>
      <w:pPr>
        <w:pStyle w:val="0"/>
        <w:jc w:val="right"/>
      </w:pPr>
      <w:r>
        <w:rPr>
          <w:sz w:val="20"/>
        </w:rPr>
        <w:t xml:space="preserve">и энергетики Ханты-Мансийского</w:t>
      </w:r>
    </w:p>
    <w:p>
      <w:pPr>
        <w:pStyle w:val="0"/>
        <w:jc w:val="right"/>
      </w:pPr>
      <w:r>
        <w:rPr>
          <w:sz w:val="20"/>
        </w:rPr>
        <w:t xml:space="preserve">автономного округа - Югры</w:t>
      </w:r>
    </w:p>
    <w:p>
      <w:pPr>
        <w:pStyle w:val="0"/>
        <w:jc w:val="right"/>
      </w:pPr>
      <w:r>
        <w:rPr>
          <w:sz w:val="20"/>
        </w:rPr>
        <w:t xml:space="preserve">И.А.КИМ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жилищно-коммунального комплекса и энергетики ХМАО - Югры от 01.03.2021 N 6-нп</w:t>
            <w:br/>
            <w:t>"О внесении изменений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Приказ Департамента жилищно-коммунального комплекса и энергетики ХМАО - Югры от 01.03.2021 N 6-нп "О внесении изменений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https://login.consultant.ru/link/?req=doc&amp;base=RLAW926&amp;n=223547" TargetMode = "External"/>
	<Relationship Id="rId7" Type="http://schemas.openxmlformats.org/officeDocument/2006/relationships/hyperlink" Target="https://login.consultant.ru/link/?req=doc&amp;base=RLAW926&amp;n=224568&amp;dst=100035" TargetMode = "External"/>
	<Relationship Id="rId8" Type="http://schemas.openxmlformats.org/officeDocument/2006/relationships/hyperlink" Target="https://login.consultant.ru/link/?req=doc&amp;base=RLAW926&amp;n=221419" TargetMode = "External"/>
	<Relationship Id="rId9" Type="http://schemas.openxmlformats.org/officeDocument/2006/relationships/hyperlink" Target="https://login.consultant.ru/link/?req=doc&amp;base=RLAW926&amp;n=221419&amp;dst=115674" TargetMode = "External"/>
	<Relationship Id="rId10" Type="http://schemas.openxmlformats.org/officeDocument/2006/relationships/hyperlink" Target="https://login.consultant.ru/link/?req=doc&amp;base=RLAW926&amp;n=221419&amp;dst=115684" TargetMode = "External"/>
	<Relationship Id="rId11" Type="http://schemas.openxmlformats.org/officeDocument/2006/relationships/hyperlink" Target="https://login.consultant.ru/link/?req=doc&amp;base=RLAW926&amp;n=221419&amp;dst=110095" TargetMode = "External"/>
	<Relationship Id="rId12" Type="http://schemas.openxmlformats.org/officeDocument/2006/relationships/hyperlink" Target="https://login.consultant.ru/link/?req=doc&amp;base=RLAW926&amp;n=221419&amp;dst=11039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жилищно-коммунального комплекса и энергетики ХМАО - Югры от 01.03.2021 N 6-нп
"О внесении изменений в приказ Департамента жилищно-коммунального комплекса и энергетики Ханты-Мансийского автономного округа - Югры от 17 июля 2019 года N 10-нп "Об утверждении понижающих коэффициентов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и признании утратившими</dc:title>
  <dcterms:created xsi:type="dcterms:W3CDTF">2023-12-26T05:52:26Z</dcterms:created>
</cp:coreProperties>
</file>