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F9" w:rsidRDefault="00D768F9" w:rsidP="00D768F9">
      <w:pPr>
        <w:shd w:val="clear" w:color="auto" w:fill="FFFFFF"/>
        <w:spacing w:after="408" w:line="240" w:lineRule="auto"/>
        <w:outlineLvl w:val="4"/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</w:pPr>
      <w:r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  <w:t>Форма 11.</w:t>
      </w:r>
      <w:r w:rsidRPr="00D768F9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4 квартал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D768F9" w:rsidRPr="00C63EFC" w:rsidTr="00E746FF">
        <w:tc>
          <w:tcPr>
            <w:tcW w:w="6456" w:type="dxa"/>
          </w:tcPr>
          <w:p w:rsidR="00D768F9" w:rsidRPr="00C63EFC" w:rsidRDefault="00D768F9" w:rsidP="00E746FF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C63EFC">
              <w:rPr>
                <w:rFonts w:asciiTheme="majorHAnsi" w:hAnsiTheme="majorHAnsi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D768F9" w:rsidRPr="00C63EFC" w:rsidRDefault="00D768F9" w:rsidP="00E746FF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12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ед</w:t>
            </w:r>
            <w:proofErr w:type="spellEnd"/>
            <w:proofErr w:type="gramEnd"/>
          </w:p>
        </w:tc>
      </w:tr>
      <w:tr w:rsidR="00D768F9" w:rsidRPr="00C63EFC" w:rsidTr="00E746FF">
        <w:tc>
          <w:tcPr>
            <w:tcW w:w="6456" w:type="dxa"/>
          </w:tcPr>
          <w:p w:rsidR="00D768F9" w:rsidRPr="00C63EFC" w:rsidRDefault="00D768F9" w:rsidP="00E746FF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C63EFC">
              <w:rPr>
                <w:rFonts w:asciiTheme="majorHAnsi" w:hAnsiTheme="majorHAnsi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D768F9" w:rsidRPr="00C63EFC" w:rsidRDefault="00D768F9" w:rsidP="00E746FF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12</w:t>
            </w:r>
            <w:r w:rsidRPr="00C63EFC">
              <w:rPr>
                <w:rFonts w:asciiTheme="majorHAnsi" w:hAnsiTheme="majorHAnsi"/>
                <w:vertAlign w:val="superscript"/>
              </w:rPr>
              <w:t>1</w:t>
            </w:r>
            <w:r>
              <w:rPr>
                <w:rFonts w:asciiTheme="majorHAnsi" w:hAnsiTheme="majorHAnsi"/>
                <w:vertAlign w:val="superscript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ед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D768F9" w:rsidRPr="00C63EFC" w:rsidTr="00E746FF">
        <w:tc>
          <w:tcPr>
            <w:tcW w:w="6456" w:type="dxa"/>
          </w:tcPr>
          <w:p w:rsidR="00D768F9" w:rsidRPr="00C63EFC" w:rsidRDefault="00D768F9" w:rsidP="00E746FF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C63EFC">
              <w:rPr>
                <w:rFonts w:asciiTheme="majorHAnsi" w:hAnsiTheme="majorHAnsi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</w:tcPr>
          <w:p w:rsidR="00D768F9" w:rsidRPr="00C63EFC" w:rsidRDefault="00D768F9" w:rsidP="00E746FF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D768F9" w:rsidRPr="00C63EFC" w:rsidTr="00E746FF">
        <w:tc>
          <w:tcPr>
            <w:tcW w:w="6456" w:type="dxa"/>
          </w:tcPr>
          <w:p w:rsidR="00D768F9" w:rsidRPr="00C63EFC" w:rsidRDefault="00D768F9" w:rsidP="00E746FF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C63EFC">
              <w:rPr>
                <w:rFonts w:asciiTheme="majorHAnsi" w:hAnsiTheme="majorHAnsi"/>
              </w:rPr>
              <w:t>Резерв мощности системы теплоснабжения в течение квартала</w:t>
            </w:r>
          </w:p>
        </w:tc>
        <w:tc>
          <w:tcPr>
            <w:tcW w:w="2608" w:type="dxa"/>
          </w:tcPr>
          <w:p w:rsidR="00D768F9" w:rsidRPr="00C63EFC" w:rsidRDefault="00D768F9" w:rsidP="00E746FF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</w:t>
            </w:r>
            <w:r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254</w:t>
            </w:r>
            <w:r w:rsidRPr="00C63EFC">
              <w:rPr>
                <w:rFonts w:asciiTheme="majorHAnsi" w:hAnsiTheme="majorHAnsi"/>
                <w:vertAlign w:val="superscript"/>
              </w:rPr>
              <w:t>2</w:t>
            </w:r>
            <w:r>
              <w:rPr>
                <w:rFonts w:asciiTheme="majorHAnsi" w:hAnsiTheme="majorHAnsi"/>
                <w:vertAlign w:val="superscript"/>
              </w:rPr>
              <w:t xml:space="preserve">  </w:t>
            </w:r>
            <w:r>
              <w:rPr>
                <w:rFonts w:asciiTheme="majorHAnsi" w:hAnsiTheme="majorHAnsi"/>
              </w:rPr>
              <w:t>Гкал/</w:t>
            </w:r>
            <w:proofErr w:type="gramStart"/>
            <w:r>
              <w:rPr>
                <w:rFonts w:asciiTheme="majorHAnsi" w:hAnsiTheme="majorHAnsi"/>
              </w:rPr>
              <w:t>ч</w:t>
            </w:r>
            <w:proofErr w:type="gramEnd"/>
          </w:p>
        </w:tc>
      </w:tr>
    </w:tbl>
    <w:p w:rsidR="00D768F9" w:rsidRDefault="00D768F9" w:rsidP="00D768F9">
      <w:pPr>
        <w:rPr>
          <w:rFonts w:asciiTheme="majorHAnsi" w:hAnsiTheme="majorHAnsi"/>
          <w:vertAlign w:val="superscript"/>
        </w:rPr>
      </w:pPr>
    </w:p>
    <w:p w:rsidR="00D768F9" w:rsidRPr="00C63EFC" w:rsidRDefault="00D768F9" w:rsidP="00D768F9">
      <w:pPr>
        <w:rPr>
          <w:rFonts w:asciiTheme="majorHAnsi" w:hAnsiTheme="majorHAnsi"/>
        </w:rPr>
      </w:pPr>
      <w:r w:rsidRPr="00C63EFC">
        <w:rPr>
          <w:rFonts w:asciiTheme="majorHAnsi" w:hAnsiTheme="majorHAnsi"/>
          <w:vertAlign w:val="superscript"/>
        </w:rPr>
        <w:t>1</w:t>
      </w:r>
      <w:r>
        <w:rPr>
          <w:rFonts w:asciiTheme="majorHAnsi" w:hAnsiTheme="majorHAnsi"/>
        </w:rPr>
        <w:t xml:space="preserve"> – количество заключенных договоров о подключении к централизованной системе теплоснабжения.</w:t>
      </w:r>
      <w:r w:rsidRPr="00C63EFC">
        <w:rPr>
          <w:rFonts w:asciiTheme="majorHAnsi" w:hAnsiTheme="majorHAnsi"/>
          <w:vertAlign w:val="superscript"/>
        </w:rPr>
        <w:br/>
        <w:t>2</w:t>
      </w:r>
      <w:r w:rsidRPr="00C63EFC">
        <w:rPr>
          <w:rFonts w:asciiTheme="majorHAnsi" w:hAnsiTheme="majorHAnsi"/>
        </w:rPr>
        <w:t xml:space="preserve"> -</w:t>
      </w:r>
      <w:r>
        <w:rPr>
          <w:rFonts w:asciiTheme="majorHAnsi" w:hAnsiTheme="majorHAnsi"/>
          <w:vertAlign w:val="superscript"/>
        </w:rPr>
        <w:t xml:space="preserve">  </w:t>
      </w:r>
      <w:r w:rsidRPr="00C63EFC">
        <w:rPr>
          <w:rFonts w:asciiTheme="majorHAnsi" w:hAnsiTheme="majorHAnsi"/>
        </w:rPr>
        <w:t>величина резерва мощности приведена исходя из резерва</w:t>
      </w:r>
      <w:r>
        <w:rPr>
          <w:rFonts w:asciiTheme="majorHAnsi" w:hAnsiTheme="majorHAnsi"/>
        </w:rPr>
        <w:t xml:space="preserve"> свободной мощности источников тепловой энергии, относящихся к балансовой принадлежности СГМУП «ГТС», при этом не отражает резерва пропускной способности магистральных и квартальных сетей теплоснабжения, а также резерва производительности оборудования тепловых пунктов. </w:t>
      </w:r>
    </w:p>
    <w:p w:rsidR="00C4671C" w:rsidRDefault="00C4671C"/>
    <w:sectPr w:rsidR="00C4671C" w:rsidSect="00C4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68F9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10335C"/>
    <w:rsid w:val="00147F96"/>
    <w:rsid w:val="0016181D"/>
    <w:rsid w:val="001D39D6"/>
    <w:rsid w:val="001E61E2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4280"/>
    <w:rsid w:val="00367892"/>
    <w:rsid w:val="00383DF3"/>
    <w:rsid w:val="003C59D5"/>
    <w:rsid w:val="003D0F24"/>
    <w:rsid w:val="00407986"/>
    <w:rsid w:val="004257B9"/>
    <w:rsid w:val="004614C4"/>
    <w:rsid w:val="004A0DF1"/>
    <w:rsid w:val="004B3D24"/>
    <w:rsid w:val="004C6282"/>
    <w:rsid w:val="005035A9"/>
    <w:rsid w:val="00585949"/>
    <w:rsid w:val="005A1552"/>
    <w:rsid w:val="005F7A67"/>
    <w:rsid w:val="006935E0"/>
    <w:rsid w:val="006A7D1F"/>
    <w:rsid w:val="0071081B"/>
    <w:rsid w:val="00712FB4"/>
    <w:rsid w:val="00715E9B"/>
    <w:rsid w:val="007229F5"/>
    <w:rsid w:val="00734049"/>
    <w:rsid w:val="00737F0A"/>
    <w:rsid w:val="007A31B0"/>
    <w:rsid w:val="007A36D7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23E80"/>
    <w:rsid w:val="00D42235"/>
    <w:rsid w:val="00D537BB"/>
    <w:rsid w:val="00D60990"/>
    <w:rsid w:val="00D658D9"/>
    <w:rsid w:val="00D67868"/>
    <w:rsid w:val="00D768F9"/>
    <w:rsid w:val="00E26028"/>
    <w:rsid w:val="00E27985"/>
    <w:rsid w:val="00E321F7"/>
    <w:rsid w:val="00E36960"/>
    <w:rsid w:val="00E73E4E"/>
    <w:rsid w:val="00E86238"/>
    <w:rsid w:val="00F031DD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6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2</cp:revision>
  <dcterms:created xsi:type="dcterms:W3CDTF">2018-04-20T04:34:00Z</dcterms:created>
  <dcterms:modified xsi:type="dcterms:W3CDTF">2018-04-20T04:37:00Z</dcterms:modified>
</cp:coreProperties>
</file>